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A8" w:rsidRDefault="00F002A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002A8" w:rsidRDefault="00F002A8">
      <w:pPr>
        <w:pStyle w:val="newncpi"/>
        <w:ind w:firstLine="0"/>
        <w:jc w:val="center"/>
      </w:pPr>
      <w:r>
        <w:rPr>
          <w:rStyle w:val="datepr"/>
        </w:rPr>
        <w:t>28 декабря 2023 г.</w:t>
      </w:r>
      <w:r>
        <w:rPr>
          <w:rStyle w:val="number"/>
        </w:rPr>
        <w:t xml:space="preserve"> № 954</w:t>
      </w:r>
    </w:p>
    <w:p w:rsidR="00F002A8" w:rsidRDefault="00F002A8">
      <w:pPr>
        <w:pStyle w:val="titlencpi"/>
      </w:pPr>
      <w:r>
        <w:t>О мерах по подготовке к полевым работам, созданию прочной кормовой базы и уборке урожая в 2024 году</w:t>
      </w:r>
    </w:p>
    <w:p w:rsidR="00F002A8" w:rsidRDefault="00F002A8">
      <w:pPr>
        <w:pStyle w:val="preamble"/>
      </w:pPr>
      <w:r>
        <w:t>На основании абзацев первого и третьего части второй подпункта 9.2 пункта 9 Указа Президента Республики Беларусь от 17 июля 2014 г. № 347 «О государственной аграрной политике» и в целях своевременной подготовки субъектов, осуществляющих деятельность в области агропромышленного производства, управляющих организаций к весеннему и осеннему севу, уходу за посевами, созданию прочной кормовой базы и уборке урожая в 2024 году Совет Министров Республики Беларусь ПОСТАНОВЛЯЕТ:</w:t>
      </w:r>
    </w:p>
    <w:p w:rsidR="00F002A8" w:rsidRDefault="00F002A8">
      <w:pPr>
        <w:pStyle w:val="point"/>
      </w:pPr>
      <w:r>
        <w:t>1. Облисполкомам совместно с Белорусским государственным концерном пищевой промышленности «</w:t>
      </w:r>
      <w:proofErr w:type="spellStart"/>
      <w:r>
        <w:t>Белгоспищепром</w:t>
      </w:r>
      <w:proofErr w:type="spellEnd"/>
      <w:r>
        <w:t>» (далее – концерн «</w:t>
      </w:r>
      <w:proofErr w:type="spellStart"/>
      <w:r>
        <w:t>Белгоспищепром</w:t>
      </w:r>
      <w:proofErr w:type="spellEnd"/>
      <w:r>
        <w:t>»), Министерством сельского хозяйства и продовольствия в 2024 году:</w:t>
      </w:r>
    </w:p>
    <w:p w:rsidR="00F002A8" w:rsidRDefault="00F002A8">
      <w:pPr>
        <w:pStyle w:val="underpoint"/>
      </w:pPr>
      <w:r>
        <w:t>1.1. осуществить комплекс организационно-технологических мероприятий по обеспечению производства основных видов сельскохозяйственной продукции в объемах, предусмотренных Государственной программой «Аграрный бизнес» на 2021–2025 годы, утвержденной постановлением Совета Министров Республики Беларусь от 1 февраля 2021 г. № 59;</w:t>
      </w:r>
    </w:p>
    <w:p w:rsidR="00F002A8" w:rsidRDefault="00F002A8">
      <w:pPr>
        <w:pStyle w:val="underpoint"/>
      </w:pPr>
      <w:r>
        <w:t>1.2. обеспечить в расчете на одну условную голову скота в организациях, осуществляющих производство продукции сельского хозяйства, заготовку всех видов кормов для стойлового содержания скота в объеме не менее 38 центнеров кормовых единиц, в том числе травяных – не менее 28 центнеров кормовых единиц;</w:t>
      </w:r>
    </w:p>
    <w:p w:rsidR="00F002A8" w:rsidRDefault="00F002A8">
      <w:pPr>
        <w:pStyle w:val="underpoint"/>
      </w:pPr>
      <w:r>
        <w:t>1.3. принять меры по:</w:t>
      </w:r>
    </w:p>
    <w:p w:rsidR="00F002A8" w:rsidRDefault="00F002A8">
      <w:pPr>
        <w:pStyle w:val="newncpi"/>
      </w:pPr>
      <w:r>
        <w:t>приобретению, накоплению и внесению субъектами, осуществляющими деятельность в области агропромышленного производства:</w:t>
      </w:r>
    </w:p>
    <w:p w:rsidR="00F002A8" w:rsidRDefault="00F002A8">
      <w:pPr>
        <w:pStyle w:val="newncpi"/>
      </w:pPr>
      <w:r>
        <w:t>минеральных удобрений в объемах согласно приложению 1;</w:t>
      </w:r>
    </w:p>
    <w:p w:rsidR="00F002A8" w:rsidRDefault="00F002A8">
      <w:pPr>
        <w:pStyle w:val="newncpi"/>
      </w:pPr>
      <w:r>
        <w:t>микроудобрений в объемах согласно приложению 2;</w:t>
      </w:r>
    </w:p>
    <w:p w:rsidR="00F002A8" w:rsidRDefault="00F002A8">
      <w:pPr>
        <w:pStyle w:val="newncpi"/>
      </w:pPr>
      <w:r>
        <w:t>известковых материалов в объемах согласно приложению 3;</w:t>
      </w:r>
    </w:p>
    <w:p w:rsidR="00F002A8" w:rsidRDefault="00F002A8">
      <w:pPr>
        <w:pStyle w:val="newncpi"/>
      </w:pPr>
      <w:r>
        <w:t>средств защиты растений в объеме 11,94 тыс. тонн, в том числе в Брестской области – 2,67 тыс. тонн, Витебской – 1,83 тыс., Гомельской – 1,41 тыс., Гродненской – 1,81 тыс., Минской – 2,47 тыс., Могилевской области – 1,75 тыс. тонн;</w:t>
      </w:r>
    </w:p>
    <w:p w:rsidR="00F002A8" w:rsidRDefault="00F002A8">
      <w:pPr>
        <w:pStyle w:val="newncpi"/>
      </w:pPr>
      <w:r>
        <w:t>закупке и доставке субъектами, осуществляющими деятельность в области агропромышленного производства, известковых материалов железнодорожным транспортом в течение календарного года в объемах согласно приложению 4;</w:t>
      </w:r>
    </w:p>
    <w:p w:rsidR="00F002A8" w:rsidRDefault="00F002A8">
      <w:pPr>
        <w:pStyle w:val="underpoint"/>
      </w:pPr>
      <w:r>
        <w:t>1.4. предусмотреть направление объемов приобретения, накопления и внесения минеральных удобрений, указанных в приложении 1 для организаций сахарной отрасли, в счет объемов минеральных удобрений, выделенных для областей;</w:t>
      </w:r>
    </w:p>
    <w:p w:rsidR="00F002A8" w:rsidRDefault="00F002A8">
      <w:pPr>
        <w:pStyle w:val="underpoint"/>
      </w:pPr>
      <w:r>
        <w:t>1.5. обеспечить закупки субъектами, осуществляющими деятельность в области агропромышленного производства, дизельного топлива, автомобильного бензина, моторных масел и смазок (далее, если не указано иное, – горюче-смазочные материалы) в объемах согласно приложению 5 (из них 710 тыс. тонн дизельного топлива, 58 тыс. тонн автомобильного бензина, 28,7 тыс. тонн моторных масел и смазок), в том числе для:</w:t>
      </w:r>
    </w:p>
    <w:p w:rsidR="00F002A8" w:rsidRDefault="00F002A8">
      <w:pPr>
        <w:pStyle w:val="newncpi"/>
      </w:pPr>
      <w:r>
        <w:t>проведения весенних полевых работ – 183 тыс. тонн дизельного топлива, 14,5 тыс. тонн автомобильного бензина, 7,7 тыс. тонн моторных масел и смазок;</w:t>
      </w:r>
    </w:p>
    <w:p w:rsidR="00F002A8" w:rsidRDefault="00F002A8">
      <w:pPr>
        <w:pStyle w:val="newncpi"/>
      </w:pPr>
      <w:r>
        <w:t>заготовки кормов – 136 тыс. тонн дизельного топлива, 11,2 тыс. тонн автомобильного бензина, 6 тыс. тонн моторных масел и смазок;</w:t>
      </w:r>
    </w:p>
    <w:p w:rsidR="00F002A8" w:rsidRDefault="00F002A8">
      <w:pPr>
        <w:pStyle w:val="newncpi"/>
      </w:pPr>
      <w:r>
        <w:t>проведения уборки урожая зерновых культур, льна – 180,5 тыс. тонн дизельного топлива, 11,3 тыс. тонн автомобильного бензина, 7,3 тыс. тонн моторных масел и смазок;</w:t>
      </w:r>
    </w:p>
    <w:p w:rsidR="00F002A8" w:rsidRDefault="00F002A8">
      <w:pPr>
        <w:pStyle w:val="newncpi"/>
      </w:pPr>
      <w:r>
        <w:t>проведения осенних полевых работ – 122,5 тыс. тонн дизельного топлива, 9,3 тыс. тонн автомобильного бензина, 4,7 тыс. тонн моторных масел и смазок;</w:t>
      </w:r>
    </w:p>
    <w:p w:rsidR="00F002A8" w:rsidRDefault="00F002A8">
      <w:pPr>
        <w:pStyle w:val="underpoint"/>
      </w:pPr>
      <w:r>
        <w:t>1.6. принять меры по обеспечению готовности не менее 95 процентов имеющейся у субъектов, осуществляющих деятельность в области агропромышленного производства, сельскохозяйственной техники для проведения:</w:t>
      </w:r>
    </w:p>
    <w:p w:rsidR="00F002A8" w:rsidRDefault="00F002A8">
      <w:pPr>
        <w:pStyle w:val="newncpi"/>
      </w:pPr>
      <w:r>
        <w:t>весенних полевых работ – до 25 марта 2024 г.;</w:t>
      </w:r>
    </w:p>
    <w:p w:rsidR="00F002A8" w:rsidRDefault="00F002A8">
      <w:pPr>
        <w:pStyle w:val="newncpi"/>
      </w:pPr>
      <w:r>
        <w:lastRenderedPageBreak/>
        <w:t>заготовки травяных кормов – до 13 мая 2024 г.;</w:t>
      </w:r>
    </w:p>
    <w:p w:rsidR="00F002A8" w:rsidRDefault="00F002A8">
      <w:pPr>
        <w:pStyle w:val="newncpi"/>
      </w:pPr>
      <w:r>
        <w:t>уборки зерновых и зернобобовых культур, первичной обработки и хранения зерна – до 8 июля 2024 г.</w:t>
      </w:r>
    </w:p>
    <w:p w:rsidR="00F002A8" w:rsidRDefault="00F002A8">
      <w:pPr>
        <w:pStyle w:val="point"/>
      </w:pPr>
      <w:r>
        <w:t>2. Облисполкомам:</w:t>
      </w:r>
    </w:p>
    <w:p w:rsidR="00F002A8" w:rsidRDefault="00F002A8">
      <w:pPr>
        <w:pStyle w:val="underpoint"/>
      </w:pPr>
      <w:r>
        <w:t>2.1. обеспечить в 2024 году за счет субвенций, передаваемых из республиканского бюджета в консолидированные бюджеты областей на финансирование расходов по развитию сельского хозяйства и </w:t>
      </w:r>
      <w:proofErr w:type="spellStart"/>
      <w:r>
        <w:t>рыбохозяйственной</w:t>
      </w:r>
      <w:proofErr w:type="spellEnd"/>
      <w:r>
        <w:t xml:space="preserve"> деятельности, а также на проведение мероприятий по радиационной защите и адресному применению защитных мер, средств республиканского и местных бюджетов, выделяемых субъектам, осуществляющим деятельность в области агропромышленного производства, собственных средств этих субъектов и кредитов банков, в том числе указанных в подпункте 4.1 пункта 4 настоящего постановления, своевременное финансирование комплекса полевых работ:</w:t>
      </w:r>
    </w:p>
    <w:p w:rsidR="00F002A8" w:rsidRDefault="00F002A8">
      <w:pPr>
        <w:pStyle w:val="newncpi"/>
      </w:pPr>
      <w:r>
        <w:t>приобретения (накопления) минеральных удобрений, микроудобрений, известковых материалов (включая расходы по их фасовке, доставке) и средств защиты растений в объемах, указанных в приложениях 1–3 и абзаце шестом подпункта 1.3 пункта 1 настоящего постановления, а также погашения задолженности субъектов, осуществляющих деятельность в области агропромышленного производства, за ранее поставленный товар, указанный в настоящем абзаце;</w:t>
      </w:r>
    </w:p>
    <w:p w:rsidR="00F002A8" w:rsidRDefault="00F002A8">
      <w:pPr>
        <w:pStyle w:val="newncpi"/>
      </w:pPr>
      <w:r>
        <w:t>приобретения материалов (</w:t>
      </w:r>
      <w:proofErr w:type="spellStart"/>
      <w:r>
        <w:t>минераловатный</w:t>
      </w:r>
      <w:proofErr w:type="spellEnd"/>
      <w:r>
        <w:t xml:space="preserve"> субстрат, зародышевые ячейки, кубики) для выращивания овощей в закрытом грунте;</w:t>
      </w:r>
    </w:p>
    <w:p w:rsidR="00F002A8" w:rsidRDefault="00F002A8">
      <w:pPr>
        <w:pStyle w:val="newncpi"/>
      </w:pPr>
      <w:r>
        <w:t>закладки плодово-ягодных насаждений на площади 500 гектаров, в том числе в Брестской области – 110 гектаров, Витебской – 50 гектаров, Гомельской – 70 гектаров, Гродненской – 110 гектаров, Минской – 110 гектаров, Могилевской области – 50 гектаров;</w:t>
      </w:r>
    </w:p>
    <w:p w:rsidR="00F002A8" w:rsidRDefault="00F002A8">
      <w:pPr>
        <w:pStyle w:val="newncpi"/>
      </w:pPr>
      <w:r>
        <w:t>приобретения необходимых объемов семян сельскохозяйственных растений, в том числе за пределами Республики Беларусь, а также семян сельскохозяйственных растений, семеноводство которых в республике не ведется, для возделывания их в 2024 году, а также погашения задолженности субъектов, осуществляющих деятельность в области агропромышленного производства, за ранее поставленный товар, указанный в настоящем абзаце;</w:t>
      </w:r>
    </w:p>
    <w:p w:rsidR="00F002A8" w:rsidRDefault="00F002A8">
      <w:pPr>
        <w:pStyle w:val="newncpi"/>
      </w:pPr>
      <w:r>
        <w:t>работ по внесению известковых материалов на площади 606,5 тыс. гектаров, в том числе в Брестской области – 103,6 тыс. гектаров, Витебской – 90 тыс., Гомельской – 95,5 тыс., Гродненской – 100,8 тыс., Минской – 133,8 тыс., Могилевской области – 82,7 тыс. гектаров;</w:t>
      </w:r>
    </w:p>
    <w:p w:rsidR="00F002A8" w:rsidRDefault="00F002A8">
      <w:pPr>
        <w:pStyle w:val="newncpi"/>
      </w:pPr>
      <w:r>
        <w:t>ремонта и технического обслуживания тракторов, комбайнов, зерноочистительно-сушильного оборудования, техники и оборудования для обеспечения льняной отрасли, тракторных и комбайновых двигателей, других сельскохозяйственных машин, узлов и агрегатов к ним, выполненных в том числе организациями, входящими в состав или сферу координации взаимодействия республиканского объединения «</w:t>
      </w:r>
      <w:proofErr w:type="spellStart"/>
      <w:r>
        <w:t>Белагросервис</w:t>
      </w:r>
      <w:proofErr w:type="spellEnd"/>
      <w:r>
        <w:t xml:space="preserve">», приобретения запасных частей, комплектующих, фильтров, масел и смазок, других товарно-материальных ценностей, необходимых для ремонта машинно-тракторного парка, весового, зерноочистительно-сушильного хозяйств и оборудования </w:t>
      </w:r>
      <w:proofErr w:type="spellStart"/>
      <w:r>
        <w:t>молочнотоварных</w:t>
      </w:r>
      <w:proofErr w:type="spellEnd"/>
      <w:r>
        <w:t xml:space="preserve"> ферм и комплексов, оснащения пунктов технического обслуживания топливозаправочного оборудования, а также погашения задолженности субъектов, осуществляющих деятельность в области агропромышленного производства, за ранее поставленный товар (оказанную услугу), указанный в настоящем абзаце;</w:t>
      </w:r>
    </w:p>
    <w:p w:rsidR="00F002A8" w:rsidRDefault="00F002A8">
      <w:pPr>
        <w:pStyle w:val="newncpi"/>
      </w:pPr>
      <w:r>
        <w:t>закупки горюче-смазочных материалов в соответствии с подпунктом 1.5 пункта 1 настоящего постановления, а также погашения задолженности субъектов, осуществляющих деятельность в области агропромышленного производства, за ранее поставленный товар, указанный в настоящем абзаце;</w:t>
      </w:r>
    </w:p>
    <w:p w:rsidR="00F002A8" w:rsidRDefault="00F002A8">
      <w:pPr>
        <w:pStyle w:val="underpoint"/>
      </w:pPr>
      <w:r>
        <w:t>2.2. осуществить комплекс мер по обеспечению своевременной и полной оплаты (включая погашение ранее образовавшейся задолженности) субъектами, осуществляющими деятельность в области агропромышленного производства, приобретаемых ими минеральных удобрений, средств защиты растений, семян сельскохозяйственных растений, горюче-смазочных материалов, сельскохозяйственной техники, оборудования и запасных частей, полученных в том числе на условиях финансовой аренды (лизинга), а также услуг по ремонту и техническому обслуживанию сельскохозяйственных машин, узлов и агрегатов к ним, выполненных в том числе организациями, входящими в состав или сферу координации взаимодействия республиканского объединения «</w:t>
      </w:r>
      <w:proofErr w:type="spellStart"/>
      <w:r>
        <w:t>Белагросервис</w:t>
      </w:r>
      <w:proofErr w:type="spellEnd"/>
      <w:r>
        <w:t>»;</w:t>
      </w:r>
    </w:p>
    <w:p w:rsidR="00F002A8" w:rsidRDefault="00F002A8">
      <w:pPr>
        <w:pStyle w:val="underpoint"/>
      </w:pPr>
      <w:r>
        <w:t>2.3. обеспечить утверждение (уточнение) графиков финансирования закупки минеральных удобрений и горюче-смазочных материалов по источникам финансирования, контроль за их выполнением и соответствием сведений, внесенных в указанные графики, информации о финансовом обеспечении проведения комплекса полевых работ, поступлении и остатках нефтепродуктов, содержащейся в автоматизированной информационной системе «Отчет»;</w:t>
      </w:r>
    </w:p>
    <w:p w:rsidR="00F002A8" w:rsidRDefault="00F002A8">
      <w:pPr>
        <w:pStyle w:val="underpoint"/>
      </w:pPr>
      <w:r>
        <w:t>2.4. принять меры по выборке семян кукурузы из кукурузокалибровочных заводов (коммунальное унитарное производственно-торговое сельскохозяйственное предприятие «Брест-травы» и коммунальное сельскохозяйственное унитарное предприятие «Экспериментальная база «Криничная») в объемах, распределенных Министерством сельского хозяйства и продовольствия;</w:t>
      </w:r>
    </w:p>
    <w:p w:rsidR="00F002A8" w:rsidRDefault="00F002A8">
      <w:pPr>
        <w:pStyle w:val="underpoint"/>
      </w:pPr>
      <w:r>
        <w:t>2.5. обеспечить предоставление в Белорусский государственный концерн по нефти и химии, открытое акционерное общество «</w:t>
      </w:r>
      <w:proofErr w:type="spellStart"/>
      <w:r>
        <w:t>Беларуськалий</w:t>
      </w:r>
      <w:proofErr w:type="spellEnd"/>
      <w:r>
        <w:t>» не позднее 10-го числа месяца, предшествующего месяцу планируемого приобретения минеральных удобрений, информации об их уточненных гарантированных объемах выборки на условиях предварительной оплаты при отсутствии просроченной задолженности.</w:t>
      </w:r>
    </w:p>
    <w:p w:rsidR="00F002A8" w:rsidRDefault="00F002A8">
      <w:pPr>
        <w:pStyle w:val="point"/>
      </w:pPr>
      <w:r>
        <w:t>3. Рекомендовать организациям, выполняющим государственное испытание сортов растений, научным организациям Национальной академии наук Беларуси, осуществляющим научные исследования в области аграрных наук, учебным и учебно-опытным хозяйствам учреждений образования, подчиненных Министерству сельского хозяйства и продовольствия, обеспечить в 2024 году закупку в приоритетном порядке минеральных удобрений и средств защиты растений (включая погашение долгов за них) за счет средств республиканского бюджета, предусмотренных на развитие сельскохозяйственного производства, рыбоводства и переработки сельскохозяйственной продукции, выделяемых им. </w:t>
      </w:r>
    </w:p>
    <w:p w:rsidR="00F002A8" w:rsidRDefault="00F002A8">
      <w:pPr>
        <w:pStyle w:val="point"/>
      </w:pPr>
      <w:r>
        <w:t>4. Установить, что:</w:t>
      </w:r>
    </w:p>
    <w:p w:rsidR="00F002A8" w:rsidRDefault="00F002A8">
      <w:pPr>
        <w:pStyle w:val="underpoint"/>
      </w:pPr>
      <w:r>
        <w:t>4.1. субсидии на уплату части процентов за пользование кредитами, выданными в 2024 году банками на срок до одного года (далее – кредиты) на условиях, определяемых ими, предоставляются включенным в перечни, утверждаемые облисполкомами:</w:t>
      </w:r>
    </w:p>
    <w:p w:rsidR="00F002A8" w:rsidRDefault="00F002A8">
      <w:pPr>
        <w:pStyle w:val="newncpi"/>
      </w:pPr>
      <w:r>
        <w:t>субъектам, осуществляющим деятельность в области агропромышленного производства, – по кредитам, выданным для финансирования комплекса полевых работ, расчетов, в том числе за закупаемые за пределами Республики Беларусь, с учетом транспортных расходов по доставке, комбикорма, белковое сырье, премиксы, зерно, початки кукурузы на семена, иные, помимо перечисленных, виды продукции урожая 2023–2024 годов, а также для погашения задолженности за указанные товары (работы, услуги), приобретенные в 2023–2024 годах;</w:t>
      </w:r>
    </w:p>
    <w:p w:rsidR="00F002A8" w:rsidRDefault="00F002A8">
      <w:pPr>
        <w:pStyle w:val="newncpi"/>
      </w:pPr>
      <w:r>
        <w:t>управляющим организациям в части осуществляемой деятельности сельскохозяйственных организаций, акции (доли в уставном фонде) которых переданы в доверительное управление управляющим организациям или полномочия исполнительного органа которых переданы управляющим организациям, – по кредитам, выданным для финансирования комплекса полевых работ (за исключением закупки минеральных удобрений и горюче-смазочных материалов), расчетов, в том числе за закупаемые за пределами Республики Беларусь, с учетом транспортных расходов по доставке, комбикорма, белковое сырье, премиксы, зерно, иные, помимо перечисленных, виды продукции урожая 2023–2024 годов, а также для погашения задолженности за указанные товары (работы, услуги), приобретенные в 2023–2024 годах;</w:t>
      </w:r>
    </w:p>
    <w:p w:rsidR="00F002A8" w:rsidRDefault="00F002A8">
      <w:pPr>
        <w:pStyle w:val="underpoint"/>
      </w:pPr>
      <w:r>
        <w:t>4.2. субсидии, указанные в подпункте 4.1 настоящего пункта, предоставляются ежемесячно в 2024–2025 годах за счет средств республиканского бюджета, предусмотренных на прочие вопросы в области сельского хозяйства, в пределах объемов, утвержденных законом о республиканском бюджете на соответствующий финансовый год, по кредитам, выданным:</w:t>
      </w:r>
    </w:p>
    <w:p w:rsidR="00F002A8" w:rsidRDefault="00F002A8">
      <w:pPr>
        <w:pStyle w:val="newncpi"/>
      </w:pPr>
      <w:r>
        <w:t>в белорусских рублях, – в размере 1/4 ставки рефинансирования Национального банка, действующей (с учетом ее изменения) в соответствующем периоде начисления процентов;</w:t>
      </w:r>
    </w:p>
    <w:p w:rsidR="00F002A8" w:rsidRDefault="00F002A8">
      <w:pPr>
        <w:pStyle w:val="newncpi"/>
      </w:pPr>
      <w:r>
        <w:t>в иностранной валюте, – в размере 1/4 ставки по кредиту с уплатой субсидии в белорусских рублях по официальному курсу Национального банка, установленному на дату перечисления субсидии;</w:t>
      </w:r>
    </w:p>
    <w:p w:rsidR="00F002A8" w:rsidRDefault="00F002A8">
      <w:pPr>
        <w:pStyle w:val="underpoint"/>
      </w:pPr>
      <w:r>
        <w:t>4.3. субсидии, указанные в подпункте 4.1 настоящего пункта, не предоставляются для уплаты процентов, начисленных на сумму просроченной и (или) отсроченной (рассроченной) задолженности по основному долгу по кредитам;</w:t>
      </w:r>
    </w:p>
    <w:p w:rsidR="00F002A8" w:rsidRDefault="00F002A8">
      <w:pPr>
        <w:pStyle w:val="underpoint"/>
      </w:pPr>
      <w:r>
        <w:t>4.4. в случаях изменения наименования кредитополучателя и (или) перехода прав и обязанностей кредитополучателя к правопреемнику в результате реорганизации юридического лица субсидии, указанные в подпункте 4.1 настоящего пункта, предоставляются после внесения облисполкомами соответствующих изменений в перечни, указанные в подпункте 4.1 настоящего пункта.</w:t>
      </w:r>
    </w:p>
    <w:p w:rsidR="00F002A8" w:rsidRDefault="00F002A8">
      <w:pPr>
        <w:pStyle w:val="newncpi"/>
      </w:pPr>
      <w:r>
        <w:t>Юридическое лицо, которое изменило наименование и (или) к которому перешли права и обязанности кредитополучателя в результате реорганизации, в течение пяти рабочих дней письменно уведомляет об этом соответствующий облисполком, а также информирует банки, выдавшие такие кредиты.</w:t>
      </w:r>
    </w:p>
    <w:p w:rsidR="00F002A8" w:rsidRDefault="00F002A8">
      <w:pPr>
        <w:pStyle w:val="newncpi"/>
      </w:pPr>
      <w:r>
        <w:t>В течение месяца с даты получения уведомления, указанного в части второй настоящего подпункта, облисполком вносит соответствующие изменения в перечень, указанный в подпункте 4.1 настоящего пункта;</w:t>
      </w:r>
    </w:p>
    <w:p w:rsidR="00F002A8" w:rsidRDefault="00F002A8">
      <w:pPr>
        <w:pStyle w:val="underpoint"/>
      </w:pPr>
      <w:r>
        <w:t>4.5. копии решений облисполкомов об утверждении перечня, указанного в подпункте 4.1 настоящего пункта, и о внесении в него изменений направляются облисполкомами не позднее пяти рабочих дней с даты их принятия в Министерство сельского хозяйства и продовольствия, Министерство финансов, Управление делами Президента Республики Беларусь и концерн «</w:t>
      </w:r>
      <w:proofErr w:type="spellStart"/>
      <w:r>
        <w:t>Белгоспищепром</w:t>
      </w:r>
      <w:proofErr w:type="spellEnd"/>
      <w:r>
        <w:t>» в отношении подчиненных им (входящих в их систему (состав) субъектов, осуществляющих деятельность в области агропромышленного производства, управляющих организаций.</w:t>
      </w:r>
    </w:p>
    <w:p w:rsidR="00F002A8" w:rsidRDefault="00F002A8">
      <w:pPr>
        <w:pStyle w:val="point"/>
      </w:pPr>
      <w:r>
        <w:t>5. Рекомендовать местным исполнительным и распорядительным органам предоставить субъектам, осуществляющим деятельность в области агропромышленного производства, управляющим организациям, включенным в перечни, указанные в подпункте 4.1 пункта 4 настоящего постановления, в 2024–2025 годах за счет средств соответствующих местных бюджетов субсидии на уплату части процентов за пользование кредитами, выданными:</w:t>
      </w:r>
    </w:p>
    <w:p w:rsidR="00F002A8" w:rsidRDefault="00F002A8">
      <w:pPr>
        <w:pStyle w:val="newncpi"/>
      </w:pPr>
      <w:r>
        <w:t>в белорусских рублях, – в размере 1/4 ставки рефинансирования Национального банка, действующей (с учетом ее изменения) в соответствующем периоде начисления процентов;</w:t>
      </w:r>
    </w:p>
    <w:p w:rsidR="00F002A8" w:rsidRDefault="00F002A8">
      <w:pPr>
        <w:pStyle w:val="newncpi"/>
      </w:pPr>
      <w:r>
        <w:t>в иностранной валюте, – в размере 1/4 ставки по кредиту с уплатой субсидии в белорусских рублях по официальному курсу Национального банка, установленному на дату перечисления субсидии.</w:t>
      </w:r>
    </w:p>
    <w:p w:rsidR="00F002A8" w:rsidRDefault="00F002A8">
      <w:pPr>
        <w:pStyle w:val="point"/>
      </w:pPr>
      <w:r>
        <w:t>6. Предложить банкам, выдавшим кредиты, ежемесячно предоставлять информацию о размере (лимите) общей суммы кредитов, фактической выдаче и погашении выданных кредитов за отчетный период в Министерство сельского хозяйства и продовольствия, Министерство финансов, облисполкомы, Управление делами Президента Республики Беларусь, концерн «</w:t>
      </w:r>
      <w:proofErr w:type="spellStart"/>
      <w:r>
        <w:t>Белгоспищепром</w:t>
      </w:r>
      <w:proofErr w:type="spellEnd"/>
      <w:r>
        <w:t>» в отношении подчиненных им (входящих в их систему (состав) субъектов, осуществляющих деятельность в области агропромышленного производства, управляющих организаций.</w:t>
      </w:r>
    </w:p>
    <w:p w:rsidR="00F002A8" w:rsidRDefault="00F002A8">
      <w:pPr>
        <w:pStyle w:val="point"/>
      </w:pPr>
      <w:r>
        <w:t>7. Министерству сельского хозяйства и продовольствия совместно с облисполкомами, Белорусским государственным концерном по нефти и химии, открытым акционерным обществом «</w:t>
      </w:r>
      <w:proofErr w:type="spellStart"/>
      <w:r>
        <w:t>Беларуськалий</w:t>
      </w:r>
      <w:proofErr w:type="spellEnd"/>
      <w:r>
        <w:t>» разработать и согласовать графики поставок минеральных удобрений субъектам, осуществляющим деятельность в области агропромышленного производства.</w:t>
      </w:r>
    </w:p>
    <w:p w:rsidR="00F002A8" w:rsidRDefault="00F002A8">
      <w:pPr>
        <w:pStyle w:val="point"/>
      </w:pPr>
      <w:r>
        <w:t>8. Белорусскому государственному концерну по нефти и химии, открытому акционерному обществу «</w:t>
      </w:r>
      <w:proofErr w:type="spellStart"/>
      <w:r>
        <w:t>Беларуськалий</w:t>
      </w:r>
      <w:proofErr w:type="spellEnd"/>
      <w:r>
        <w:t>» обеспечить отгрузку минеральных удобрений в соответствии с заключенными договорами под поступающее финансирование при отсутствии просроченной дебиторской задолженности.</w:t>
      </w:r>
    </w:p>
    <w:p w:rsidR="00F002A8" w:rsidRDefault="00F002A8">
      <w:pPr>
        <w:pStyle w:val="point"/>
      </w:pPr>
      <w:r>
        <w:t>9. Меры, сроки и объемы, указанные в пункте 1 настоящего постановления и приложениях 1–5, являются прогнозными для целей реализации мероприятий Государственной программы «Аграрный бизнес» на 2021–2025 годы и не подлежат доведению до субъектов, осуществляющих деятельность в области агропромышленного производства.</w:t>
      </w:r>
    </w:p>
    <w:p w:rsidR="00F002A8" w:rsidRDefault="00F002A8">
      <w:pPr>
        <w:pStyle w:val="point"/>
      </w:pPr>
      <w:r>
        <w:t>10. Для целей настоящего постановления применяются термины в значениях, определенных в перечне согласно приложению 6.</w:t>
      </w:r>
    </w:p>
    <w:p w:rsidR="00F002A8" w:rsidRDefault="00F002A8">
      <w:pPr>
        <w:pStyle w:val="point"/>
      </w:pPr>
      <w:r>
        <w:t>11. Настоящее постановление вступает в силу с 1 января 2024 г.</w:t>
      </w:r>
    </w:p>
    <w:p w:rsidR="00F002A8" w:rsidRDefault="00F002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002A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Первый заместитель Премьер-министра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Н.Снопков</w:t>
            </w:r>
            <w:proofErr w:type="spellEnd"/>
          </w:p>
        </w:tc>
      </w:tr>
    </w:tbl>
    <w:p w:rsidR="00F002A8" w:rsidRDefault="00F002A8">
      <w:pPr>
        <w:pStyle w:val="newncpi"/>
      </w:pPr>
      <w:r>
        <w:t> </w:t>
      </w:r>
    </w:p>
    <w:p w:rsidR="00F002A8" w:rsidRDefault="00F002A8">
      <w:pPr>
        <w:rPr>
          <w:rFonts w:eastAsia="Times New Roman"/>
        </w:rPr>
        <w:sectPr w:rsidR="00F002A8" w:rsidSect="00FF7A3B">
          <w:pgSz w:w="11906" w:h="16838"/>
          <w:pgMar w:top="567" w:right="1133" w:bottom="567" w:left="1416" w:header="708" w:footer="708" w:gutter="0"/>
          <w:cols w:space="708"/>
          <w:docGrid w:linePitch="408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8"/>
        <w:gridCol w:w="3683"/>
      </w:tblGrid>
      <w:tr w:rsidR="00F002A8">
        <w:trPr>
          <w:cantSplit/>
          <w:trHeight w:val="238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append1"/>
            </w:pPr>
            <w:r>
              <w:t>Приложение 1</w:t>
            </w:r>
          </w:p>
          <w:p w:rsidR="00F002A8" w:rsidRDefault="00F002A8" w:rsidP="007520A8">
            <w:pPr>
              <w:pStyle w:val="append"/>
              <w:spacing w:line="192" w:lineRule="auto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02A8" w:rsidRDefault="00F002A8">
            <w:pPr>
              <w:pStyle w:val="append"/>
            </w:pPr>
            <w:r>
              <w:t>28.12.2023 № 954</w:t>
            </w:r>
          </w:p>
        </w:tc>
      </w:tr>
    </w:tbl>
    <w:p w:rsidR="00F002A8" w:rsidRDefault="00F002A8" w:rsidP="007520A8">
      <w:pPr>
        <w:pStyle w:val="titlep"/>
        <w:spacing w:before="0" w:after="0"/>
        <w:jc w:val="left"/>
      </w:pPr>
      <w:r>
        <w:t>ОБЪЕМЫ</w:t>
      </w:r>
      <w:r>
        <w:br/>
        <w:t>приобретения, накопления и внесения минеральных удобрений</w:t>
      </w:r>
    </w:p>
    <w:p w:rsidR="00F002A8" w:rsidRDefault="00F002A8">
      <w:pPr>
        <w:pStyle w:val="edizmeren"/>
      </w:pPr>
      <w:r>
        <w:t>(тыс. тонн действующего вещества)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11"/>
        <w:gridCol w:w="567"/>
        <w:gridCol w:w="710"/>
        <w:gridCol w:w="707"/>
        <w:gridCol w:w="849"/>
        <w:gridCol w:w="853"/>
        <w:gridCol w:w="995"/>
        <w:gridCol w:w="707"/>
        <w:gridCol w:w="710"/>
        <w:gridCol w:w="567"/>
        <w:gridCol w:w="849"/>
        <w:gridCol w:w="658"/>
        <w:gridCol w:w="749"/>
        <w:gridCol w:w="1076"/>
        <w:gridCol w:w="824"/>
      </w:tblGrid>
      <w:tr w:rsidR="00F002A8">
        <w:trPr>
          <w:cantSplit/>
          <w:trHeight w:val="240"/>
        </w:trPr>
        <w:tc>
          <w:tcPr>
            <w:tcW w:w="14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 xml:space="preserve">Наименование областей </w:t>
            </w:r>
          </w:p>
        </w:tc>
        <w:tc>
          <w:tcPr>
            <w:tcW w:w="27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Объемы приобретения, накопления и внесения минеральных удобрений</w:t>
            </w:r>
          </w:p>
        </w:tc>
        <w:tc>
          <w:tcPr>
            <w:tcW w:w="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Объемы накопления под урожай следующего года (в IV квартале 2024 г.)</w:t>
            </w:r>
          </w:p>
        </w:tc>
      </w:tr>
      <w:tr w:rsidR="00F002A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для ранневесенних подкормок и под весенний сев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для повторных подкормок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под осенний сев озимых культур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2A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азот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фосфор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калий*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азот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фосфор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калий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азот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калий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азот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фосфор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калий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азот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фосфор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калий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Брестская</w:t>
            </w:r>
          </w:p>
        </w:tc>
        <w:tc>
          <w:tcPr>
            <w:tcW w:w="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309,2</w:t>
            </w:r>
          </w:p>
        </w:tc>
        <w:tc>
          <w:tcPr>
            <w:tcW w:w="1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126,6</w:t>
            </w:r>
          </w:p>
        </w:tc>
        <w:tc>
          <w:tcPr>
            <w:tcW w:w="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55,5</w:t>
            </w:r>
          </w:p>
        </w:tc>
        <w:tc>
          <w:tcPr>
            <w:tcW w:w="2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127,1</w:t>
            </w:r>
          </w:p>
        </w:tc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91,0</w:t>
            </w:r>
          </w:p>
        </w:tc>
        <w:tc>
          <w:tcPr>
            <w:tcW w:w="2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36,0</w:t>
            </w:r>
          </w:p>
        </w:tc>
        <w:tc>
          <w:tcPr>
            <w:tcW w:w="30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81,5</w:t>
            </w:r>
          </w:p>
        </w:tc>
        <w:tc>
          <w:tcPr>
            <w:tcW w:w="2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26,8</w:t>
            </w:r>
          </w:p>
        </w:tc>
        <w:tc>
          <w:tcPr>
            <w:tcW w:w="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6,6</w:t>
            </w:r>
          </w:p>
        </w:tc>
        <w:tc>
          <w:tcPr>
            <w:tcW w:w="1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8,8</w:t>
            </w:r>
          </w:p>
        </w:tc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19,5</w:t>
            </w:r>
          </w:p>
        </w:tc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39,0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33,2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7,7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26,9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в том числе ОАО «</w:t>
            </w:r>
            <w:proofErr w:type="spellStart"/>
            <w:r>
              <w:t>Жабинковский</w:t>
            </w:r>
            <w:proofErr w:type="spellEnd"/>
            <w:r>
              <w:t xml:space="preserve"> сахарный завод»**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9,0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2,2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3,9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2,2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3,9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Витебская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239,6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93,9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42,6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103,1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68,6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28,1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63,6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18,9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10,5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6,4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14,5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29,0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29,7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5,6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23,2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Гомельская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271,2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107,3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48,9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115,0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81,6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32,0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70,4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18,1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9,9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7,6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16,9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34,7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27,8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6,1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12,9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Гродненская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290,5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118,9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56,9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114,7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87,3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35,2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73,0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23,7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7,5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7,9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21,7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34,2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24,5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2,6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24,0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</w:t>
            </w:r>
            <w:proofErr w:type="spellStart"/>
            <w:r>
              <w:t>Жабинковский</w:t>
            </w:r>
            <w:proofErr w:type="spellEnd"/>
            <w:r>
              <w:t xml:space="preserve"> сахарный завод»**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0,9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0,2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0,4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0,2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0,1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0,2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0,4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</w:t>
            </w:r>
            <w:proofErr w:type="spellStart"/>
            <w:r>
              <w:t>Скидельский</w:t>
            </w:r>
            <w:proofErr w:type="spellEnd"/>
            <w:r>
              <w:t xml:space="preserve"> сахарный комбинат»**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7,1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2,3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1,7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3,1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1,6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0,7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1,7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3,1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</w:t>
            </w:r>
            <w:proofErr w:type="spellStart"/>
            <w:r>
              <w:t>Городейский</w:t>
            </w:r>
            <w:proofErr w:type="spellEnd"/>
            <w:r>
              <w:t xml:space="preserve"> сахарный комбинат»**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2,8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0,7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1,2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0,7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1,2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«Слуцкий сахаро-рафинадный комбинат»**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1,3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0,4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0,1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Минская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421,9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167,5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80,0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174,4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110,0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50,9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106,0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44,7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13,2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12,8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29,1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55,2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30,0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4,1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17,3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</w:t>
            </w:r>
            <w:proofErr w:type="spellStart"/>
            <w:r>
              <w:t>Городейский</w:t>
            </w:r>
            <w:proofErr w:type="spellEnd"/>
            <w:r>
              <w:t xml:space="preserve"> сахарный комбинат»**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6,2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1,5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2,7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1,4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1,5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2,7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«Слуцкий сахаро-рафинадный комбинат»**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9,5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2,3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4,2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2,1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0,9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2,3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4,2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Могилевская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242,2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89,5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46,9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105,8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63,3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28,8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63,9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19,8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9,3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6,4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18,1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32,6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25,8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3,5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21,2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</w:t>
            </w:r>
            <w:proofErr w:type="spellStart"/>
            <w:r>
              <w:t>Городейский</w:t>
            </w:r>
            <w:proofErr w:type="spellEnd"/>
            <w:r>
              <w:t xml:space="preserve"> сахарный комбинат»**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1,3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0,4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0,1</w:t>
            </w:r>
          </w:p>
        </w:tc>
        <w:tc>
          <w:tcPr>
            <w:tcW w:w="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ОАО «Слуцкий сахаро-рафинадный комбинат»**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3,2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0,8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1,4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0,3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0,8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1,4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4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1774,6</w:t>
            </w:r>
          </w:p>
        </w:tc>
        <w:tc>
          <w:tcPr>
            <w:tcW w:w="1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703,7</w:t>
            </w:r>
          </w:p>
        </w:tc>
        <w:tc>
          <w:tcPr>
            <w:tcW w:w="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330,8</w:t>
            </w:r>
          </w:p>
        </w:tc>
        <w:tc>
          <w:tcPr>
            <w:tcW w:w="2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740,1</w:t>
            </w:r>
          </w:p>
        </w:tc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501,8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211,0</w:t>
            </w:r>
          </w:p>
        </w:tc>
        <w:tc>
          <w:tcPr>
            <w:tcW w:w="30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458,4</w:t>
            </w:r>
          </w:p>
        </w:tc>
        <w:tc>
          <w:tcPr>
            <w:tcW w:w="2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152,0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57,0</w:t>
            </w:r>
          </w:p>
        </w:tc>
        <w:tc>
          <w:tcPr>
            <w:tcW w:w="1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49,9</w:t>
            </w:r>
          </w:p>
        </w:tc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119,8</w:t>
            </w:r>
          </w:p>
        </w:tc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224,7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171,0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29,6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125,5</w:t>
            </w:r>
          </w:p>
        </w:tc>
      </w:tr>
    </w:tbl>
    <w:p w:rsidR="00F002A8" w:rsidRDefault="00F002A8">
      <w:pPr>
        <w:pStyle w:val="snoskiline"/>
      </w:pPr>
      <w:r>
        <w:t>______________________________</w:t>
      </w:r>
    </w:p>
    <w:p w:rsidR="00F002A8" w:rsidRDefault="00F002A8">
      <w:pPr>
        <w:pStyle w:val="snoski"/>
      </w:pPr>
      <w:r>
        <w:t>* Включая отгрузку в адрес ОАО «Гомельский химический завод» для производства комплексных азотно-фосфорно-калийных удобрений, за исключением организаций концерна «</w:t>
      </w:r>
      <w:proofErr w:type="spellStart"/>
      <w:r>
        <w:t>Белгоспищепром</w:t>
      </w:r>
      <w:proofErr w:type="spellEnd"/>
      <w:r>
        <w:t>».</w:t>
      </w:r>
    </w:p>
    <w:p w:rsidR="00F002A8" w:rsidRDefault="00F002A8" w:rsidP="007520A8">
      <w:pPr>
        <w:pStyle w:val="snoski"/>
        <w:spacing w:after="240"/>
      </w:pPr>
      <w:r>
        <w:t>** Источниками финансирования расходов по приобретению, накоплению и внесению минеральных удобрений являются собственные средства организаций и кредиты банков. </w:t>
      </w:r>
    </w:p>
    <w:p w:rsidR="00F002A8" w:rsidRDefault="00F002A8">
      <w:pPr>
        <w:rPr>
          <w:rFonts w:eastAsia="Times New Roman"/>
        </w:rPr>
        <w:sectPr w:rsidR="00F002A8">
          <w:pgSz w:w="16840" w:h="11907" w:orient="landscape"/>
          <w:pgMar w:top="567" w:right="289" w:bottom="567" w:left="340" w:header="709" w:footer="709" w:gutter="0"/>
          <w:cols w:space="720"/>
        </w:sectPr>
      </w:pPr>
    </w:p>
    <w:p w:rsidR="00F002A8" w:rsidRDefault="00F002A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F002A8">
        <w:trPr>
          <w:cantSplit/>
          <w:trHeight w:val="238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append1"/>
            </w:pPr>
            <w:r>
              <w:t>Приложение 2</w:t>
            </w:r>
          </w:p>
          <w:p w:rsidR="00F002A8" w:rsidRDefault="00F002A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02A8" w:rsidRDefault="00F002A8">
            <w:pPr>
              <w:pStyle w:val="append"/>
            </w:pPr>
            <w:r>
              <w:t>28.12.2023 № 954</w:t>
            </w:r>
          </w:p>
        </w:tc>
      </w:tr>
    </w:tbl>
    <w:p w:rsidR="00F002A8" w:rsidRDefault="00F002A8">
      <w:pPr>
        <w:pStyle w:val="titlep"/>
        <w:jc w:val="left"/>
      </w:pPr>
      <w:r>
        <w:t>ОБЪЕМЫ</w:t>
      </w:r>
      <w:r>
        <w:br/>
        <w:t>приобретения, накопления и внесения микроудобрений</w:t>
      </w:r>
    </w:p>
    <w:p w:rsidR="00F002A8" w:rsidRDefault="00F002A8">
      <w:pPr>
        <w:pStyle w:val="edizmeren"/>
      </w:pPr>
      <w:r>
        <w:t>(тонн)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921"/>
        <w:gridCol w:w="911"/>
        <w:gridCol w:w="911"/>
        <w:gridCol w:w="1572"/>
        <w:gridCol w:w="911"/>
        <w:gridCol w:w="1656"/>
      </w:tblGrid>
      <w:tr w:rsidR="00F002A8">
        <w:trPr>
          <w:cantSplit/>
          <w:trHeight w:val="240"/>
        </w:trPr>
        <w:tc>
          <w:tcPr>
            <w:tcW w:w="13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Наименование областей</w:t>
            </w:r>
          </w:p>
        </w:tc>
        <w:tc>
          <w:tcPr>
            <w:tcW w:w="3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Объемы приобретения, накопления и внесения микроудобрений</w:t>
            </w:r>
          </w:p>
        </w:tc>
      </w:tr>
      <w:tr w:rsidR="00F002A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в том числе</w:t>
            </w:r>
          </w:p>
        </w:tc>
      </w:tr>
      <w:tr w:rsidR="00F002A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бор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медь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марганец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цинк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молибден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Брестская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113,2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51,1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16,1</w:t>
            </w:r>
          </w:p>
        </w:tc>
        <w:tc>
          <w:tcPr>
            <w:tcW w:w="8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11,2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31,9</w:t>
            </w:r>
          </w:p>
        </w:tc>
        <w:tc>
          <w:tcPr>
            <w:tcW w:w="8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2,9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Витебская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82,5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39,6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15,3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7,7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17,0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2,9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Гомельская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110,8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45,7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18,6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9,3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35,5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1,7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Гродненская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104,6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56,0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13,7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11,2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21,6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2,1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Минская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158,9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81,3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22,3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16,7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35,6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3,0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Могилевская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88,7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16,0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9,6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20,9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2,2</w:t>
            </w:r>
          </w:p>
        </w:tc>
      </w:tr>
      <w:tr w:rsidR="00F002A8">
        <w:trPr>
          <w:cantSplit/>
          <w:trHeight w:val="240"/>
        </w:trPr>
        <w:tc>
          <w:tcPr>
            <w:tcW w:w="13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658,7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313,7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102,0</w:t>
            </w:r>
          </w:p>
        </w:tc>
        <w:tc>
          <w:tcPr>
            <w:tcW w:w="8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65,7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162,5</w:t>
            </w:r>
          </w:p>
        </w:tc>
        <w:tc>
          <w:tcPr>
            <w:tcW w:w="8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14,8</w:t>
            </w:r>
          </w:p>
        </w:tc>
      </w:tr>
    </w:tbl>
    <w:p w:rsidR="007520A8" w:rsidRDefault="00F002A8">
      <w:pPr>
        <w:pStyle w:val="newncpi"/>
      </w:pPr>
      <w:r>
        <w:t> </w:t>
      </w:r>
    </w:p>
    <w:p w:rsidR="007520A8" w:rsidRDefault="007520A8">
      <w:pPr>
        <w:rPr>
          <w:rFonts w:eastAsiaTheme="minorEastAsia" w:cs="Times New Roman"/>
          <w:sz w:val="24"/>
          <w:szCs w:val="24"/>
          <w:lang w:eastAsia="ru-RU"/>
        </w:rPr>
      </w:pPr>
      <w:r>
        <w:br w:type="page"/>
      </w:r>
    </w:p>
    <w:p w:rsidR="00F002A8" w:rsidRDefault="00F002A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F002A8">
        <w:trPr>
          <w:cantSplit/>
          <w:trHeight w:val="238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append1"/>
            </w:pPr>
            <w:r>
              <w:t>Приложение 3</w:t>
            </w:r>
          </w:p>
          <w:p w:rsidR="00F002A8" w:rsidRDefault="00F002A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02A8" w:rsidRDefault="00F002A8">
            <w:pPr>
              <w:pStyle w:val="append"/>
            </w:pPr>
            <w:r>
              <w:t>28.12.2023 № 954</w:t>
            </w:r>
          </w:p>
        </w:tc>
      </w:tr>
    </w:tbl>
    <w:p w:rsidR="00F002A8" w:rsidRDefault="00F002A8">
      <w:pPr>
        <w:pStyle w:val="titlep"/>
        <w:jc w:val="left"/>
      </w:pPr>
      <w:r>
        <w:t>ОБЪЕМЫ</w:t>
      </w:r>
      <w:r>
        <w:br/>
        <w:t>приобретения, накопления и внесения известковых материалов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1684"/>
        <w:gridCol w:w="1190"/>
        <w:gridCol w:w="2693"/>
      </w:tblGrid>
      <w:tr w:rsidR="00F002A8">
        <w:trPr>
          <w:cantSplit/>
          <w:trHeight w:val="240"/>
        </w:trPr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Наименование областей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 xml:space="preserve">Потребность в известковых материалах, тыс. тонн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Доза внесения известковых материалов на 1 гектар, тонн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Планируется внести дефеката, тыс. тонн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Планируется внести муки известняковой (доломитовой) марки С (</w:t>
            </w:r>
            <w:proofErr w:type="spellStart"/>
            <w:r>
              <w:t>сыромолотый</w:t>
            </w:r>
            <w:proofErr w:type="spellEnd"/>
            <w:r>
              <w:t xml:space="preserve"> доломит), тыс. тонн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Брестская</w:t>
            </w:r>
          </w:p>
        </w:tc>
        <w:tc>
          <w:tcPr>
            <w:tcW w:w="8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463,2</w:t>
            </w:r>
          </w:p>
        </w:tc>
        <w:tc>
          <w:tcPr>
            <w:tcW w:w="9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4,8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22,0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Витебская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421,7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5,4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62,9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Гомельская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466,2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4,7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Гродненская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439,8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4,6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Минская</w:t>
            </w:r>
          </w:p>
        </w:tc>
        <w:tc>
          <w:tcPr>
            <w:tcW w:w="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613,0</w:t>
            </w:r>
          </w:p>
        </w:tc>
        <w:tc>
          <w:tcPr>
            <w:tcW w:w="9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12,6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Могилевская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392,0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4,9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002A8">
        <w:trPr>
          <w:cantSplit/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81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2795,9</w:t>
            </w:r>
          </w:p>
        </w:tc>
        <w:tc>
          <w:tcPr>
            <w:tcW w:w="9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4,9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84,6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62,9</w:t>
            </w:r>
          </w:p>
        </w:tc>
      </w:tr>
    </w:tbl>
    <w:p w:rsidR="007520A8" w:rsidRDefault="00F002A8">
      <w:pPr>
        <w:pStyle w:val="newncpi"/>
      </w:pPr>
      <w:r>
        <w:t> </w:t>
      </w:r>
    </w:p>
    <w:p w:rsidR="007520A8" w:rsidRDefault="007520A8">
      <w:pPr>
        <w:rPr>
          <w:rFonts w:eastAsiaTheme="minorEastAsia" w:cs="Times New Roman"/>
          <w:sz w:val="24"/>
          <w:szCs w:val="24"/>
          <w:lang w:eastAsia="ru-RU"/>
        </w:rPr>
      </w:pPr>
      <w:r>
        <w:br w:type="page"/>
      </w:r>
    </w:p>
    <w:p w:rsidR="00F002A8" w:rsidRDefault="00F002A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F002A8">
        <w:trPr>
          <w:cantSplit/>
          <w:trHeight w:val="238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append1"/>
            </w:pPr>
            <w:r>
              <w:t>Приложение 4</w:t>
            </w:r>
          </w:p>
          <w:p w:rsidR="00F002A8" w:rsidRDefault="00F002A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02A8" w:rsidRDefault="00F002A8">
            <w:pPr>
              <w:pStyle w:val="append"/>
            </w:pPr>
            <w:r>
              <w:t>28.12.2023 № 954</w:t>
            </w:r>
          </w:p>
        </w:tc>
      </w:tr>
    </w:tbl>
    <w:p w:rsidR="00F002A8" w:rsidRDefault="00F002A8">
      <w:pPr>
        <w:pStyle w:val="titlep"/>
        <w:jc w:val="left"/>
      </w:pPr>
      <w:r>
        <w:t>ОБЪЕМЫ</w:t>
      </w:r>
      <w:r>
        <w:br/>
        <w:t>закупки и доставки известковых материалов</w:t>
      </w:r>
    </w:p>
    <w:p w:rsidR="00F002A8" w:rsidRDefault="00F002A8">
      <w:pPr>
        <w:pStyle w:val="edizmeren"/>
      </w:pPr>
      <w:r>
        <w:t>(процентов от годового объема)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602"/>
        <w:gridCol w:w="1602"/>
        <w:gridCol w:w="1602"/>
        <w:gridCol w:w="1566"/>
      </w:tblGrid>
      <w:tr w:rsidR="00F002A8">
        <w:trPr>
          <w:cantSplit/>
          <w:trHeight w:val="240"/>
        </w:trPr>
        <w:tc>
          <w:tcPr>
            <w:tcW w:w="1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Наименование областей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 xml:space="preserve">I квартал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II квартал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III квартал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>
            <w:pPr>
              <w:pStyle w:val="table10"/>
              <w:jc w:val="center"/>
            </w:pPr>
            <w:r>
              <w:t>IV квартал</w:t>
            </w:r>
          </w:p>
        </w:tc>
      </w:tr>
      <w:tr w:rsidR="00F002A8">
        <w:trPr>
          <w:cantSplit/>
          <w:trHeight w:val="240"/>
        </w:trPr>
        <w:tc>
          <w:tcPr>
            <w:tcW w:w="15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Брестская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F002A8">
        <w:trPr>
          <w:cantSplit/>
          <w:trHeight w:val="240"/>
        </w:trPr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Витебская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F002A8">
        <w:trPr>
          <w:cantSplit/>
          <w:trHeight w:val="240"/>
        </w:trPr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Гомельская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F002A8">
        <w:trPr>
          <w:cantSplit/>
          <w:trHeight w:val="240"/>
        </w:trPr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Гродненская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F002A8">
        <w:trPr>
          <w:cantSplit/>
          <w:trHeight w:val="240"/>
        </w:trPr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Минская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20</w:t>
            </w:r>
          </w:p>
        </w:tc>
      </w:tr>
      <w:tr w:rsidR="00F002A8">
        <w:trPr>
          <w:cantSplit/>
          <w:trHeight w:val="240"/>
        </w:trPr>
        <w:tc>
          <w:tcPr>
            <w:tcW w:w="15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table10"/>
              <w:spacing w:before="120"/>
            </w:pPr>
            <w:r>
              <w:t>Могилевская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>
            <w:pPr>
              <w:pStyle w:val="table10"/>
              <w:spacing w:before="120"/>
              <w:jc w:val="center"/>
            </w:pPr>
            <w:r>
              <w:t>30</w:t>
            </w:r>
          </w:p>
        </w:tc>
      </w:tr>
    </w:tbl>
    <w:p w:rsidR="00F002A8" w:rsidRDefault="00F002A8">
      <w:pPr>
        <w:pStyle w:val="newncpi"/>
      </w:pPr>
      <w:r>
        <w:t> </w:t>
      </w:r>
    </w:p>
    <w:p w:rsidR="00F002A8" w:rsidRDefault="00F002A8">
      <w:pPr>
        <w:rPr>
          <w:rFonts w:eastAsia="Times New Roman"/>
        </w:rPr>
        <w:sectPr w:rsidR="00F002A8">
          <w:pgSz w:w="11907" w:h="16840"/>
          <w:pgMar w:top="567" w:right="1134" w:bottom="567" w:left="1417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8"/>
        <w:gridCol w:w="3683"/>
      </w:tblGrid>
      <w:tr w:rsidR="00F002A8">
        <w:trPr>
          <w:cantSplit/>
          <w:trHeight w:val="238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append1"/>
            </w:pPr>
            <w:r>
              <w:t>Приложение 5</w:t>
            </w:r>
          </w:p>
          <w:p w:rsidR="00F002A8" w:rsidRDefault="00F002A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02A8" w:rsidRDefault="00F002A8">
            <w:pPr>
              <w:pStyle w:val="append"/>
            </w:pPr>
            <w:r>
              <w:t>28.12.2023 № 954</w:t>
            </w:r>
          </w:p>
        </w:tc>
      </w:tr>
    </w:tbl>
    <w:p w:rsidR="00F002A8" w:rsidRDefault="00F002A8" w:rsidP="007520A8">
      <w:pPr>
        <w:pStyle w:val="titlep"/>
        <w:spacing w:before="0" w:after="0"/>
        <w:jc w:val="left"/>
      </w:pPr>
      <w:r>
        <w:t>ОБЪЕМЫ</w:t>
      </w:r>
      <w:r>
        <w:br/>
        <w:t>закупки дизельного топлива, автомобильного бензина, моторных масел и смазок</w:t>
      </w:r>
    </w:p>
    <w:p w:rsidR="00F002A8" w:rsidRDefault="00F002A8">
      <w:pPr>
        <w:pStyle w:val="edizmeren"/>
      </w:pPr>
      <w:r>
        <w:t>(тыс. тонн)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648"/>
        <w:gridCol w:w="746"/>
        <w:gridCol w:w="872"/>
        <w:gridCol w:w="626"/>
        <w:gridCol w:w="541"/>
        <w:gridCol w:w="759"/>
        <w:gridCol w:w="467"/>
        <w:gridCol w:w="1290"/>
        <w:gridCol w:w="597"/>
        <w:gridCol w:w="587"/>
        <w:gridCol w:w="1060"/>
        <w:gridCol w:w="704"/>
        <w:gridCol w:w="969"/>
        <w:gridCol w:w="1080"/>
        <w:gridCol w:w="862"/>
        <w:gridCol w:w="765"/>
        <w:gridCol w:w="1187"/>
        <w:gridCol w:w="872"/>
      </w:tblGrid>
      <w:tr w:rsidR="00F002A8">
        <w:trPr>
          <w:cantSplit/>
          <w:trHeight w:val="240"/>
        </w:trPr>
        <w:tc>
          <w:tcPr>
            <w:tcW w:w="4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Наименование областей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43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В том числе</w:t>
            </w:r>
          </w:p>
        </w:tc>
      </w:tr>
      <w:tr w:rsidR="00F002A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 w:rsidP="007520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A8" w:rsidRDefault="00F002A8" w:rsidP="007520A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итого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итого на весенние полевые работы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итого на заготовку кормов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итого на уборку урожая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итого на осенние полевые работы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декабрь</w:t>
            </w:r>
          </w:p>
        </w:tc>
      </w:tr>
      <w:tr w:rsidR="00F002A8">
        <w:trPr>
          <w:cantSplit/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Дизельное топливо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Брестская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145,0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34,5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7,5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Витебская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84,0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21,5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17,0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23,5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Гомельская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108,0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29,0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22,0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26,5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18,5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4,5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Гродненская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116,0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30,5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28,0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20,5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6,0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Минская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170,0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31,5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21,0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44,0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19,0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11,0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8,0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Могилевская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23,0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16,5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24,0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  <w:ind w:left="283"/>
            </w:pPr>
            <w: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710,0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26,0</w:t>
            </w:r>
          </w:p>
        </w:tc>
        <w:tc>
          <w:tcPr>
            <w:tcW w:w="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1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49,0</w:t>
            </w:r>
          </w:p>
        </w:tc>
        <w:tc>
          <w:tcPr>
            <w:tcW w:w="2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77,0</w:t>
            </w:r>
          </w:p>
        </w:tc>
        <w:tc>
          <w:tcPr>
            <w:tcW w:w="1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57,0</w:t>
            </w:r>
          </w:p>
        </w:tc>
        <w:tc>
          <w:tcPr>
            <w:tcW w:w="3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183,0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61,5</w:t>
            </w:r>
          </w:p>
        </w:tc>
        <w:tc>
          <w:tcPr>
            <w:tcW w:w="1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74,5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136,0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85,5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180,5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75,5</w:t>
            </w:r>
          </w:p>
        </w:tc>
        <w:tc>
          <w:tcPr>
            <w:tcW w:w="2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47,0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122,5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32,0</w:t>
            </w:r>
          </w:p>
        </w:tc>
      </w:tr>
      <w:tr w:rsidR="00F002A8">
        <w:trPr>
          <w:cantSplit/>
          <w:trHeight w:val="240"/>
        </w:trPr>
        <w:tc>
          <w:tcPr>
            <w:tcW w:w="5000" w:type="pct"/>
            <w:gridSpan w:val="19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 xml:space="preserve">Автомобильный бензин 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Брестская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15,2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Витебская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Гомельская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Гродненская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Минская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12,8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Могилевская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  <w:ind w:left="283"/>
            </w:pPr>
            <w: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58,0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1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4,3</w:t>
            </w:r>
          </w:p>
        </w:tc>
        <w:tc>
          <w:tcPr>
            <w:tcW w:w="2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1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3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5,4</w:t>
            </w:r>
          </w:p>
        </w:tc>
        <w:tc>
          <w:tcPr>
            <w:tcW w:w="1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5,8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11,2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4,4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9,3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4,0</w:t>
            </w:r>
          </w:p>
        </w:tc>
      </w:tr>
      <w:tr w:rsidR="00F002A8">
        <w:trPr>
          <w:cantSplit/>
          <w:trHeight w:val="240"/>
        </w:trPr>
        <w:tc>
          <w:tcPr>
            <w:tcW w:w="5000" w:type="pct"/>
            <w:gridSpan w:val="19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Моторные масла и смазки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Брестская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Витебская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Гомельская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Гродненская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Минская</w:t>
            </w:r>
          </w:p>
        </w:tc>
        <w:tc>
          <w:tcPr>
            <w:tcW w:w="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23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1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1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1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</w:pPr>
            <w:r>
              <w:t>Могилевская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0,1</w:t>
            </w:r>
          </w:p>
        </w:tc>
      </w:tr>
      <w:tr w:rsidR="00F002A8">
        <w:trPr>
          <w:cantSplit/>
          <w:trHeight w:val="240"/>
        </w:trPr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 w:rsidP="007520A8">
            <w:pPr>
              <w:pStyle w:val="table10"/>
              <w:ind w:left="283"/>
            </w:pPr>
            <w: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28,7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1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2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1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2,4</w:t>
            </w:r>
          </w:p>
        </w:tc>
        <w:tc>
          <w:tcPr>
            <w:tcW w:w="3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7,7</w:t>
            </w:r>
          </w:p>
        </w:tc>
        <w:tc>
          <w:tcPr>
            <w:tcW w:w="1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1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2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2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7,3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4,7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2A8" w:rsidRDefault="00F002A8" w:rsidP="007520A8">
            <w:pPr>
              <w:pStyle w:val="table10"/>
              <w:jc w:val="center"/>
            </w:pPr>
            <w:r>
              <w:t>1,1</w:t>
            </w:r>
          </w:p>
        </w:tc>
      </w:tr>
    </w:tbl>
    <w:p w:rsidR="00F002A8" w:rsidRDefault="00F002A8">
      <w:pPr>
        <w:pStyle w:val="newncpi"/>
      </w:pPr>
      <w:r>
        <w:t> </w:t>
      </w:r>
    </w:p>
    <w:p w:rsidR="00F002A8" w:rsidRDefault="00F002A8">
      <w:pPr>
        <w:rPr>
          <w:rFonts w:eastAsia="Times New Roman"/>
        </w:rPr>
        <w:sectPr w:rsidR="00F002A8">
          <w:pgSz w:w="16840" w:h="11907" w:orient="landscape"/>
          <w:pgMar w:top="567" w:right="289" w:bottom="567" w:left="340" w:header="709" w:footer="709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F002A8">
        <w:trPr>
          <w:cantSplit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2A8" w:rsidRDefault="00F002A8">
            <w:pPr>
              <w:pStyle w:val="append1"/>
            </w:pPr>
            <w:r>
              <w:t>Приложение 6</w:t>
            </w:r>
          </w:p>
          <w:p w:rsidR="00F002A8" w:rsidRDefault="00F002A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002A8" w:rsidRDefault="00F002A8">
            <w:pPr>
              <w:pStyle w:val="append"/>
            </w:pPr>
            <w:r>
              <w:t>28.12.2023 № 954</w:t>
            </w:r>
          </w:p>
        </w:tc>
      </w:tr>
    </w:tbl>
    <w:p w:rsidR="00F002A8" w:rsidRDefault="00F002A8">
      <w:pPr>
        <w:pStyle w:val="titlep"/>
        <w:jc w:val="left"/>
      </w:pPr>
      <w:r>
        <w:t>ПЕРЕЧЕНЬ</w:t>
      </w:r>
      <w:r>
        <w:br/>
        <w:t>терминов и их определений</w:t>
      </w:r>
    </w:p>
    <w:p w:rsidR="00F002A8" w:rsidRDefault="00F002A8">
      <w:pPr>
        <w:pStyle w:val="point"/>
      </w:pPr>
      <w:r>
        <w:t xml:space="preserve">1. Белковое сырье – шрот (соевый, подсолнечный, рапсовый), рапсовый жмых, </w:t>
      </w:r>
      <w:proofErr w:type="gramStart"/>
      <w:r>
        <w:t>мясо-костная</w:t>
      </w:r>
      <w:proofErr w:type="gramEnd"/>
      <w:r>
        <w:t xml:space="preserve"> мука, рыбная мука.</w:t>
      </w:r>
    </w:p>
    <w:p w:rsidR="00F002A8" w:rsidRDefault="00F002A8">
      <w:pPr>
        <w:pStyle w:val="point"/>
      </w:pPr>
      <w:r>
        <w:t>2. Комплекс полевых работ – подготовка и проведение весенних полевых работ, работ в защищенном грунте, заготовка кормов, уборка урожая, а также подготовка и проведение озимого сева, зяблевая обработка почвы, закупка минеральных удобрений, средств защиты растений и горюче-смазочных материалов, в том числе в III и IV кварталах 2024 г. под урожай 2025 года, проводимые субъектами, осуществляющими деятельность в области агропромышленного производства, управляющими организациями.</w:t>
      </w:r>
    </w:p>
    <w:p w:rsidR="00F002A8" w:rsidRDefault="00F002A8">
      <w:pPr>
        <w:pStyle w:val="point"/>
      </w:pPr>
      <w:r>
        <w:t>3. Премиксы – кормовые добавки, представляющие собой однородные смеси микрокомпонентов и наполнителей, предназначенные для обогащения комбикормов, белково-витаминно-минеральных и </w:t>
      </w:r>
      <w:proofErr w:type="spellStart"/>
      <w:r>
        <w:t>белково</w:t>
      </w:r>
      <w:proofErr w:type="spellEnd"/>
      <w:r>
        <w:t>-</w:t>
      </w:r>
      <w:proofErr w:type="spellStart"/>
      <w:r>
        <w:t>амидо</w:t>
      </w:r>
      <w:proofErr w:type="spellEnd"/>
      <w:r>
        <w:t>-витаминно-минеральных добавок биологически активными веществами.</w:t>
      </w:r>
    </w:p>
    <w:p w:rsidR="00F002A8" w:rsidRDefault="00F002A8">
      <w:pPr>
        <w:pStyle w:val="point"/>
      </w:pPr>
      <w:r>
        <w:t>4. Расходы по доставке минеральных удобрений:</w:t>
      </w:r>
    </w:p>
    <w:p w:rsidR="00F002A8" w:rsidRDefault="00F002A8">
      <w:pPr>
        <w:pStyle w:val="newncpi"/>
      </w:pPr>
      <w:r>
        <w:t>провозные платежи за их перевозку железнодорожным транспортом от организаций, осуществляющих их поставку или производство (далее – организации-поставщики), до железнодорожных станций назначения (железнодорожный тариф);</w:t>
      </w:r>
    </w:p>
    <w:p w:rsidR="00F002A8" w:rsidRDefault="00F002A8">
      <w:pPr>
        <w:pStyle w:val="newncpi"/>
      </w:pPr>
      <w:r>
        <w:t>провозные платежи за возврат порожних вагонов от субъектов, осуществляющих деятельность в области агропромышленного производства, в адрес организаций-поставщиков;</w:t>
      </w:r>
    </w:p>
    <w:p w:rsidR="00F002A8" w:rsidRDefault="00F002A8">
      <w:pPr>
        <w:pStyle w:val="newncpi"/>
      </w:pPr>
      <w:r>
        <w:t>платежи за дополнительные услуги железнодорожного транспорта, в том числе плата за пользование вагонами и их уборку, маневровые работы и пользование вагонами при подаче и уборке, включая доставку минеральных удобрений от железнодорожной станции назначения до мест их хранения;</w:t>
      </w:r>
    </w:p>
    <w:p w:rsidR="00F002A8" w:rsidRDefault="00F002A8">
      <w:pPr>
        <w:pStyle w:val="newncpi"/>
      </w:pPr>
      <w:r>
        <w:t>плата за услуги, оказываемые субъектам, осуществляющим деятельность в области агропромышленного производства, по выполнению погрузочно-разгрузочных работ, хранению минеральных удобрений;</w:t>
      </w:r>
    </w:p>
    <w:p w:rsidR="00F002A8" w:rsidRDefault="00F002A8">
      <w:pPr>
        <w:pStyle w:val="newncpi"/>
      </w:pPr>
      <w:r>
        <w:t>плата за перевозку минеральных удобрений от мест хранения до полей внесения субъектов, осуществляющих деятельность в области агропромышленного производства;</w:t>
      </w:r>
    </w:p>
    <w:p w:rsidR="00F002A8" w:rsidRDefault="00F002A8">
      <w:pPr>
        <w:pStyle w:val="newncpi"/>
      </w:pPr>
      <w:r>
        <w:t>плата (возмещение расходов) за доставку минеральных удобрений автомобильным транспортом от организаций-поставщиков до мест их хранения у субъектов, осуществляющих деятельность в области агропромышленного производства.</w:t>
      </w:r>
    </w:p>
    <w:p w:rsidR="00F002A8" w:rsidRDefault="00F002A8">
      <w:pPr>
        <w:pStyle w:val="point"/>
      </w:pPr>
      <w:r>
        <w:t>5. Субъекты, осуществляющие деятельность в области агропромышленного производства, – юридические лица, включая их обособленные подразделения, основным видом деятельности которых являются:</w:t>
      </w:r>
    </w:p>
    <w:p w:rsidR="00F002A8" w:rsidRDefault="00F002A8">
      <w:pPr>
        <w:pStyle w:val="newncpi"/>
      </w:pPr>
      <w:r>
        <w:t>растениеводство и (или) животноводство;</w:t>
      </w:r>
    </w:p>
    <w:p w:rsidR="00F002A8" w:rsidRDefault="00F002A8">
      <w:pPr>
        <w:pStyle w:val="newncpi"/>
      </w:pPr>
      <w:r>
        <w:t>рыбоводство;</w:t>
      </w:r>
    </w:p>
    <w:p w:rsidR="00F002A8" w:rsidRDefault="00F002A8">
      <w:pPr>
        <w:pStyle w:val="newncpi"/>
      </w:pPr>
      <w:r>
        <w:t>производство продуктов питания;</w:t>
      </w:r>
    </w:p>
    <w:p w:rsidR="00F002A8" w:rsidRDefault="00F002A8">
      <w:pPr>
        <w:pStyle w:val="newncpi"/>
      </w:pPr>
      <w:r>
        <w:t>подготовка и прядение льняного волокна;</w:t>
      </w:r>
    </w:p>
    <w:p w:rsidR="00F002A8" w:rsidRDefault="00F002A8">
      <w:pPr>
        <w:pStyle w:val="newncpi"/>
      </w:pPr>
      <w:r>
        <w:t>ветеринарная деятельность;</w:t>
      </w:r>
    </w:p>
    <w:p w:rsidR="00F002A8" w:rsidRDefault="00F002A8">
      <w:pPr>
        <w:pStyle w:val="newncpi"/>
      </w:pPr>
      <w:r>
        <w:t>оказание мелиоративных услуг (осушение сельскохозяйственных участков, строительство оросительных систем (каналов), насосных станций, зданий и сооружений, являющихся неотъемлемой частью мелиоративных систем);</w:t>
      </w:r>
    </w:p>
    <w:p w:rsidR="00F002A8" w:rsidRDefault="00F002A8">
      <w:pPr>
        <w:pStyle w:val="newncpi"/>
      </w:pPr>
      <w:r>
        <w:t>предоставление услуг в области растениеводства и (или) животноводства;</w:t>
      </w:r>
    </w:p>
    <w:p w:rsidR="00F002A8" w:rsidRDefault="00F002A8">
      <w:pPr>
        <w:pStyle w:val="newncpi"/>
      </w:pPr>
      <w:r>
        <w:t>оптовая торговля удобрениями, агрохимическими продуктами, ветеринарными средствами, техникой и оборудованием для сельского хозяйства;</w:t>
      </w:r>
    </w:p>
    <w:p w:rsidR="00F002A8" w:rsidRDefault="00F002A8">
      <w:pPr>
        <w:pStyle w:val="newncpi"/>
      </w:pPr>
      <w:r>
        <w:t>ремонт сельскохозяйственных тракторов, машин и оборудования для сельского хозяйства;</w:t>
      </w:r>
    </w:p>
    <w:p w:rsidR="00F002A8" w:rsidRDefault="00F002A8">
      <w:pPr>
        <w:pStyle w:val="newncpi"/>
      </w:pPr>
      <w:r>
        <w:t>перевозки сельскохозяйственной продукции и услуги зернохранилищ.</w:t>
      </w:r>
    </w:p>
    <w:p w:rsidR="00F002A8" w:rsidRDefault="00F002A8">
      <w:pPr>
        <w:pStyle w:val="point"/>
      </w:pPr>
      <w:r>
        <w:t>6. Управляющая организация – коммерческая организация, в доверительное управление которой переданы акции (доли в уставном фонде) сельскохозяйственной организации или которой переданы полномочия исполнительного органа сельскохозяйственной организации.</w:t>
      </w:r>
    </w:p>
    <w:p w:rsidR="002240C8" w:rsidRDefault="002240C8">
      <w:bookmarkStart w:id="0" w:name="_GoBack"/>
      <w:bookmarkEnd w:id="0"/>
    </w:p>
    <w:sectPr w:rsidR="002240C8">
      <w:pgSz w:w="11907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8"/>
    <w:rsid w:val="002240C8"/>
    <w:rsid w:val="007520A8"/>
    <w:rsid w:val="00F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4A7F"/>
  <w15:chartTrackingRefBased/>
  <w15:docId w15:val="{73C37E21-6566-41BB-9733-8D51C7E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2A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02A8"/>
    <w:rPr>
      <w:color w:val="154C94"/>
      <w:u w:val="single"/>
    </w:rPr>
  </w:style>
  <w:style w:type="paragraph" w:customStyle="1" w:styleId="msonormal0">
    <w:name w:val="msonormal"/>
    <w:basedOn w:val="a"/>
    <w:rsid w:val="00F002A8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02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002A8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02A8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02A8"/>
    <w:pPr>
      <w:ind w:firstLine="0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02A8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02A8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02A8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02A8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F002A8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02A8"/>
    <w:pPr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02A8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02A8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F002A8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02A8"/>
    <w:pPr>
      <w:spacing w:before="240"/>
      <w:ind w:firstLine="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02A8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02A8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F002A8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F002A8"/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02A8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02A8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02A8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02A8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02A8"/>
    <w:pPr>
      <w:ind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02A8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F002A8"/>
    <w:pPr>
      <w:spacing w:before="240" w:after="240"/>
      <w:ind w:firstLine="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02A8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02A8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02A8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02A8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F002A8"/>
    <w:pPr>
      <w:ind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F002A8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02A8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02A8"/>
    <w:pPr>
      <w:spacing w:after="240"/>
      <w:ind w:left="1134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02A8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02A8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F002A8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F002A8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02A8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02A8"/>
    <w:pPr>
      <w:ind w:left="567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02A8"/>
    <w:pPr>
      <w:ind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02A8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02A8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02A8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02A8"/>
    <w:pPr>
      <w:spacing w:after="60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02A8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02A8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02A8"/>
    <w:pPr>
      <w:spacing w:before="120"/>
      <w:ind w:left="1134" w:firstLine="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02A8"/>
    <w:pPr>
      <w:ind w:left="1134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02A8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02A8"/>
    <w:pPr>
      <w:ind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02A8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02A8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02A8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02A8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F002A8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F002A8"/>
    <w:pPr>
      <w:ind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02A8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02A8"/>
    <w:pPr>
      <w:spacing w:before="240" w:after="24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02A8"/>
    <w:pPr>
      <w:ind w:left="5103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02A8"/>
    <w:pPr>
      <w:ind w:left="2835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02A8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02A8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02A8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02A8"/>
    <w:pPr>
      <w:ind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02A8"/>
    <w:pPr>
      <w:ind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02A8"/>
    <w:pPr>
      <w:ind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02A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02A8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02A8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02A8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02A8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02A8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02A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02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02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02A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02A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02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02A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02A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02A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02A8"/>
    <w:rPr>
      <w:rFonts w:ascii="Symbol" w:hAnsi="Symbol" w:hint="default"/>
    </w:rPr>
  </w:style>
  <w:style w:type="character" w:customStyle="1" w:styleId="onewind3">
    <w:name w:val="onewind3"/>
    <w:basedOn w:val="a0"/>
    <w:rsid w:val="00F002A8"/>
    <w:rPr>
      <w:rFonts w:ascii="Wingdings 3" w:hAnsi="Wingdings 3" w:hint="default"/>
    </w:rPr>
  </w:style>
  <w:style w:type="character" w:customStyle="1" w:styleId="onewind2">
    <w:name w:val="onewind2"/>
    <w:basedOn w:val="a0"/>
    <w:rsid w:val="00F002A8"/>
    <w:rPr>
      <w:rFonts w:ascii="Wingdings 2" w:hAnsi="Wingdings 2" w:hint="default"/>
    </w:rPr>
  </w:style>
  <w:style w:type="character" w:customStyle="1" w:styleId="onewind">
    <w:name w:val="onewind"/>
    <w:basedOn w:val="a0"/>
    <w:rsid w:val="00F002A8"/>
    <w:rPr>
      <w:rFonts w:ascii="Wingdings" w:hAnsi="Wingdings" w:hint="default"/>
    </w:rPr>
  </w:style>
  <w:style w:type="character" w:customStyle="1" w:styleId="rednoun">
    <w:name w:val="rednoun"/>
    <w:basedOn w:val="a0"/>
    <w:rsid w:val="00F002A8"/>
  </w:style>
  <w:style w:type="character" w:customStyle="1" w:styleId="post">
    <w:name w:val="post"/>
    <w:basedOn w:val="a0"/>
    <w:rsid w:val="00F002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02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02A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02A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02A8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02A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02A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k3084</dc:creator>
  <cp:keywords/>
  <dc:description/>
  <cp:lastModifiedBy>k3084</cp:lastModifiedBy>
  <cp:revision>2</cp:revision>
  <dcterms:created xsi:type="dcterms:W3CDTF">2024-01-08T07:06:00Z</dcterms:created>
  <dcterms:modified xsi:type="dcterms:W3CDTF">2024-01-08T07:10:00Z</dcterms:modified>
</cp:coreProperties>
</file>